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</w:rPr>
        <w:t>...</w:t>
      </w:r>
      <w:r>
        <w:rPr>
          <w:rStyle w:val="cat-PassportDatagrp-20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имеющей регистрации по месту пребывания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0355431010124072401009601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п.2 ст.8.14 Закона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№45 «Кодекс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явилась, о месте и времени судебного</w:t>
      </w:r>
      <w:r>
        <w:rPr>
          <w:rFonts w:ascii="Times New Roman" w:eastAsia="Times New Roman" w:hAnsi="Times New Roman" w:cs="Times New Roman"/>
        </w:rPr>
        <w:t xml:space="preserve"> заседания 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Style w:val="cat-OrganizationNamegrp-21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0355431010124072401009601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п.2 ст.8.14 Закона </w:t>
      </w:r>
      <w:r>
        <w:rPr>
          <w:rStyle w:val="cat-Addressgrp-4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№45 «Кодекс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8rplc-26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0355431010124072401009601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0355431010424120101005481 от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0355431010124072401009601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9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3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0412365400725024502420143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OrganizationNamegrp-21rplc-21">
    <w:name w:val="cat-OrganizationName grp-21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Sumgrp-19rplc-36">
    <w:name w:val="cat-Sum grp-19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